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477" w:rsidRPr="0093489B" w:rsidRDefault="00A60477" w:rsidP="007D2B22">
      <w:pPr>
        <w:spacing w:line="560" w:lineRule="exact"/>
        <w:ind w:firstLineChars="850" w:firstLine="3072"/>
        <w:rPr>
          <w:rFonts w:ascii="黑体" w:eastAsia="黑体" w:hAnsi="仿宋_GB2312" w:cs="仿宋_GB2312"/>
          <w:b/>
          <w:sz w:val="36"/>
          <w:szCs w:val="36"/>
        </w:rPr>
      </w:pPr>
      <w:r w:rsidRPr="009704F0">
        <w:rPr>
          <w:rFonts w:ascii="黑体" w:eastAsia="黑体" w:hAnsi="仿宋_GB2312" w:cs="仿宋_GB2312" w:hint="eastAsia"/>
          <w:b/>
          <w:sz w:val="36"/>
          <w:szCs w:val="36"/>
        </w:rPr>
        <w:t>企业简介</w:t>
      </w:r>
    </w:p>
    <w:p w:rsidR="00A60477" w:rsidRPr="00BD6F98" w:rsidRDefault="00A60477" w:rsidP="007D2B22">
      <w:pPr>
        <w:overflowPunct w:val="0"/>
        <w:spacing w:line="520" w:lineRule="exact"/>
        <w:ind w:firstLineChars="200" w:firstLine="600"/>
        <w:rPr>
          <w:rFonts w:asciiTheme="minorEastAsia" w:hAnsiTheme="minorEastAsia"/>
          <w:sz w:val="30"/>
          <w:szCs w:val="30"/>
        </w:rPr>
      </w:pPr>
      <w:r w:rsidRPr="00BD6F98">
        <w:rPr>
          <w:rFonts w:asciiTheme="minorEastAsia" w:hAnsiTheme="minorEastAsia" w:hint="eastAsia"/>
          <w:sz w:val="30"/>
          <w:szCs w:val="30"/>
        </w:rPr>
        <w:t>莱州亚通重型装备有限公司是一家专业从事煤炭、井工矿山设备研发、生产、销售、租赁以及煤矿主要设备检修服务的专业化、综合性企业，是亚通集团的下属公司之一</w:t>
      </w:r>
      <w:bookmarkStart w:id="0" w:name="_Hlk23429994"/>
      <w:r w:rsidRPr="00BD6F98">
        <w:rPr>
          <w:rFonts w:asciiTheme="minorEastAsia" w:hAnsiTheme="minorEastAsia" w:hint="eastAsia"/>
          <w:sz w:val="30"/>
          <w:szCs w:val="30"/>
        </w:rPr>
        <w:t>。</w:t>
      </w:r>
      <w:bookmarkEnd w:id="0"/>
      <w:r w:rsidRPr="00BD6F98">
        <w:rPr>
          <w:rFonts w:asciiTheme="minorEastAsia" w:hAnsiTheme="minorEastAsia" w:hint="eastAsia"/>
          <w:sz w:val="30"/>
          <w:szCs w:val="30"/>
        </w:rPr>
        <w:t xml:space="preserve">     </w:t>
      </w:r>
    </w:p>
    <w:p w:rsidR="00BD6F98" w:rsidRDefault="00A60477" w:rsidP="007D2B22">
      <w:pPr>
        <w:overflowPunct w:val="0"/>
        <w:spacing w:line="520" w:lineRule="exact"/>
        <w:ind w:firstLine="612"/>
        <w:rPr>
          <w:rFonts w:asciiTheme="minorEastAsia" w:hAnsiTheme="minorEastAsia"/>
          <w:sz w:val="30"/>
          <w:szCs w:val="30"/>
        </w:rPr>
      </w:pPr>
      <w:r w:rsidRPr="00BD6F98">
        <w:rPr>
          <w:rFonts w:asciiTheme="minorEastAsia" w:hAnsiTheme="minorEastAsia" w:hint="eastAsia"/>
          <w:sz w:val="30"/>
          <w:szCs w:val="30"/>
        </w:rPr>
        <w:t>公司成立于2010年12月，现有职工</w:t>
      </w:r>
      <w:r w:rsidR="00BD6F98">
        <w:rPr>
          <w:rFonts w:asciiTheme="minorEastAsia" w:hAnsiTheme="minorEastAsia" w:hint="eastAsia"/>
          <w:sz w:val="30"/>
          <w:szCs w:val="30"/>
        </w:rPr>
        <w:t>约</w:t>
      </w:r>
      <w:r w:rsidR="004D6CCA">
        <w:rPr>
          <w:rFonts w:asciiTheme="minorEastAsia" w:hAnsiTheme="minorEastAsia"/>
          <w:sz w:val="30"/>
          <w:szCs w:val="30"/>
        </w:rPr>
        <w:t>500</w:t>
      </w:r>
      <w:r w:rsidR="004D6CCA">
        <w:rPr>
          <w:rFonts w:asciiTheme="minorEastAsia" w:hAnsiTheme="minorEastAsia" w:hint="eastAsia"/>
          <w:sz w:val="30"/>
          <w:szCs w:val="30"/>
        </w:rPr>
        <w:t>余</w:t>
      </w:r>
      <w:r w:rsidRPr="00BD6F98">
        <w:rPr>
          <w:rFonts w:asciiTheme="minorEastAsia" w:hAnsiTheme="minorEastAsia" w:hint="eastAsia"/>
          <w:sz w:val="30"/>
          <w:szCs w:val="30"/>
        </w:rPr>
        <w:t>人，注册资本1</w:t>
      </w:r>
      <w:r w:rsidR="00ED752A">
        <w:rPr>
          <w:rFonts w:asciiTheme="minorEastAsia" w:hAnsiTheme="minorEastAsia"/>
          <w:sz w:val="30"/>
          <w:szCs w:val="30"/>
        </w:rPr>
        <w:t>.21</w:t>
      </w:r>
      <w:r w:rsidR="00ED752A">
        <w:rPr>
          <w:rFonts w:asciiTheme="minorEastAsia" w:hAnsiTheme="minorEastAsia" w:hint="eastAsia"/>
          <w:sz w:val="30"/>
          <w:szCs w:val="30"/>
        </w:rPr>
        <w:t>亿</w:t>
      </w:r>
      <w:r w:rsidRPr="00BD6F98">
        <w:rPr>
          <w:rFonts w:asciiTheme="minorEastAsia" w:hAnsiTheme="minorEastAsia" w:hint="eastAsia"/>
          <w:sz w:val="30"/>
          <w:szCs w:val="30"/>
        </w:rPr>
        <w:t>元，公司占地面积</w:t>
      </w:r>
      <w:r w:rsidR="00BD6F98">
        <w:rPr>
          <w:rFonts w:asciiTheme="minorEastAsia" w:hAnsiTheme="minorEastAsia" w:hint="eastAsia"/>
          <w:sz w:val="30"/>
          <w:szCs w:val="30"/>
        </w:rPr>
        <w:t>约2万</w:t>
      </w:r>
      <w:r w:rsidRPr="00BD6F98">
        <w:rPr>
          <w:rFonts w:asciiTheme="minorEastAsia" w:hAnsiTheme="minorEastAsia" w:hint="eastAsia"/>
          <w:sz w:val="30"/>
          <w:szCs w:val="30"/>
        </w:rPr>
        <w:t>平方米</w:t>
      </w:r>
      <w:bookmarkStart w:id="1" w:name="_Hlk23491951"/>
      <w:r w:rsidR="00165A27" w:rsidRPr="00BD6F98">
        <w:rPr>
          <w:rFonts w:asciiTheme="minorEastAsia" w:hAnsiTheme="minorEastAsia" w:hint="eastAsia"/>
          <w:sz w:val="30"/>
          <w:szCs w:val="30"/>
        </w:rPr>
        <w:t>。</w:t>
      </w:r>
      <w:bookmarkEnd w:id="1"/>
      <w:r w:rsidRPr="00BD6F98">
        <w:rPr>
          <w:rFonts w:asciiTheme="minorEastAsia" w:hAnsiTheme="minorEastAsia" w:hint="eastAsia"/>
          <w:sz w:val="30"/>
          <w:szCs w:val="30"/>
        </w:rPr>
        <w:t>公司拥有等离子切割机、液压剪板机、数控板料折弯机等各类高精尖生产及研发设备177台（套），年设计矿车生产能力500台（套</w:t>
      </w:r>
      <w:r w:rsidR="00ED752A">
        <w:rPr>
          <w:rFonts w:asciiTheme="minorEastAsia" w:hAnsiTheme="minorEastAsia" w:hint="eastAsia"/>
          <w:sz w:val="30"/>
          <w:szCs w:val="30"/>
        </w:rPr>
        <w:t>）。</w:t>
      </w:r>
    </w:p>
    <w:p w:rsidR="00BD6F98" w:rsidRPr="00BD6F98" w:rsidRDefault="00BD6F98" w:rsidP="007D2B22">
      <w:pPr>
        <w:spacing w:line="520" w:lineRule="exact"/>
        <w:ind w:firstLineChars="200" w:firstLine="600"/>
        <w:rPr>
          <w:rFonts w:asciiTheme="minorEastAsia" w:hAnsiTheme="minorEastAsia"/>
          <w:sz w:val="30"/>
          <w:szCs w:val="30"/>
        </w:rPr>
      </w:pPr>
      <w:r w:rsidRPr="00BD6F98">
        <w:rPr>
          <w:rFonts w:asciiTheme="minorEastAsia" w:hAnsiTheme="minorEastAsia" w:hint="eastAsia"/>
          <w:sz w:val="30"/>
          <w:szCs w:val="30"/>
        </w:rPr>
        <w:t>公司人才培养目标始终坚持“专业培养和综合培养同步进行”的人才培养政策，即公司培养专家型的技术人才和综合型的管理人才。专家型的技术人才指在某专业领域内掌握较高技术水平的人才，</w:t>
      </w:r>
      <w:r w:rsidR="00ED752A">
        <w:rPr>
          <w:rFonts w:asciiTheme="minorEastAsia" w:hAnsiTheme="minorEastAsia" w:hint="eastAsia"/>
          <w:sz w:val="30"/>
          <w:szCs w:val="30"/>
        </w:rPr>
        <w:t>对专业技术人才进行新技术、新工艺、新设备、新材料等专业培训，</w:t>
      </w:r>
      <w:r w:rsidRPr="00BD6F98">
        <w:rPr>
          <w:rFonts w:asciiTheme="minorEastAsia" w:hAnsiTheme="minorEastAsia" w:hint="eastAsia"/>
          <w:sz w:val="30"/>
          <w:szCs w:val="30"/>
        </w:rPr>
        <w:t>综合型管理人才指在本单位或本部门工作领域具备全面知识，有较高管理水平的人才</w:t>
      </w:r>
      <w:r w:rsidR="00ED752A">
        <w:rPr>
          <w:rFonts w:asciiTheme="minorEastAsia" w:hAnsiTheme="minorEastAsia" w:hint="eastAsia"/>
          <w:sz w:val="30"/>
          <w:szCs w:val="30"/>
        </w:rPr>
        <w:t>，对</w:t>
      </w:r>
      <w:r w:rsidR="007D2B22">
        <w:rPr>
          <w:rFonts w:asciiTheme="minorEastAsia" w:hAnsiTheme="minorEastAsia" w:hint="eastAsia"/>
          <w:sz w:val="30"/>
          <w:szCs w:val="30"/>
        </w:rPr>
        <w:t>管理</w:t>
      </w:r>
      <w:r w:rsidR="00ED752A">
        <w:rPr>
          <w:rFonts w:asciiTheme="minorEastAsia" w:hAnsiTheme="minorEastAsia" w:hint="eastAsia"/>
          <w:sz w:val="30"/>
          <w:szCs w:val="30"/>
        </w:rPr>
        <w:t>人才进行管理技能专业培训</w:t>
      </w:r>
      <w:r w:rsidRPr="00BD6F98">
        <w:rPr>
          <w:rFonts w:asciiTheme="minorEastAsia" w:hAnsiTheme="minorEastAsia" w:hint="eastAsia"/>
          <w:sz w:val="30"/>
          <w:szCs w:val="30"/>
        </w:rPr>
        <w:t>。</w:t>
      </w:r>
    </w:p>
    <w:p w:rsidR="00A60477" w:rsidRPr="00BD6F98" w:rsidRDefault="00A60477" w:rsidP="007D2B22">
      <w:pPr>
        <w:overflowPunct w:val="0"/>
        <w:spacing w:line="520" w:lineRule="exact"/>
        <w:ind w:firstLine="612"/>
        <w:rPr>
          <w:rFonts w:asciiTheme="minorEastAsia" w:hAnsiTheme="minorEastAsia"/>
          <w:sz w:val="30"/>
          <w:szCs w:val="30"/>
        </w:rPr>
      </w:pPr>
      <w:r w:rsidRPr="00BD6F98">
        <w:rPr>
          <w:rFonts w:asciiTheme="minorEastAsia" w:hAnsiTheme="minorEastAsia" w:hint="eastAsia"/>
          <w:sz w:val="30"/>
          <w:szCs w:val="30"/>
        </w:rPr>
        <w:t>公司建有山东省企业技术中心，山东省一企一技术研发中心、烟台市企业技术中心、烟台市矿用运输装备工程技术研究中心、烟台市煤矿井下无轨辅助车辆工程实验室、烟台市一企一技术研发中心等六个省市级研发平台。公司</w:t>
      </w:r>
      <w:r w:rsidR="00165A27" w:rsidRPr="00BD6F98">
        <w:rPr>
          <w:rFonts w:asciiTheme="minorEastAsia" w:hAnsiTheme="minorEastAsia" w:hint="eastAsia"/>
          <w:sz w:val="30"/>
          <w:szCs w:val="30"/>
        </w:rPr>
        <w:t>总部在莱州，</w:t>
      </w:r>
      <w:r w:rsidRPr="00BD6F98">
        <w:rPr>
          <w:rFonts w:asciiTheme="minorEastAsia" w:hAnsiTheme="minorEastAsia" w:hint="eastAsia"/>
          <w:sz w:val="30"/>
          <w:szCs w:val="30"/>
        </w:rPr>
        <w:t>在烟台</w:t>
      </w:r>
      <w:r w:rsidR="00165A27" w:rsidRPr="00BD6F98">
        <w:rPr>
          <w:rFonts w:asciiTheme="minorEastAsia" w:hAnsiTheme="minorEastAsia" w:hint="eastAsia"/>
          <w:sz w:val="30"/>
          <w:szCs w:val="30"/>
        </w:rPr>
        <w:t>市区</w:t>
      </w:r>
      <w:r w:rsidRPr="00BD6F98">
        <w:rPr>
          <w:rFonts w:asciiTheme="minorEastAsia" w:hAnsiTheme="minorEastAsia" w:hint="eastAsia"/>
          <w:sz w:val="30"/>
          <w:szCs w:val="30"/>
        </w:rPr>
        <w:t>、青岛</w:t>
      </w:r>
      <w:r w:rsidR="00165A27" w:rsidRPr="00BD6F98">
        <w:rPr>
          <w:rFonts w:asciiTheme="minorEastAsia" w:hAnsiTheme="minorEastAsia" w:hint="eastAsia"/>
          <w:sz w:val="30"/>
          <w:szCs w:val="30"/>
        </w:rPr>
        <w:t>市区</w:t>
      </w:r>
      <w:r w:rsidRPr="00BD6F98">
        <w:rPr>
          <w:rFonts w:asciiTheme="minorEastAsia" w:hAnsiTheme="minorEastAsia" w:hint="eastAsia"/>
          <w:sz w:val="30"/>
          <w:szCs w:val="30"/>
        </w:rPr>
        <w:t>等地设有研发</w:t>
      </w:r>
      <w:r w:rsidR="00165A27" w:rsidRPr="00BD6F98">
        <w:rPr>
          <w:rFonts w:asciiTheme="minorEastAsia" w:hAnsiTheme="minorEastAsia" w:hint="eastAsia"/>
          <w:sz w:val="30"/>
          <w:szCs w:val="30"/>
        </w:rPr>
        <w:t>中心</w:t>
      </w:r>
      <w:r w:rsidRPr="00BD6F98">
        <w:rPr>
          <w:rFonts w:asciiTheme="minorEastAsia" w:hAnsiTheme="minorEastAsia" w:hint="eastAsia"/>
          <w:sz w:val="30"/>
          <w:szCs w:val="30"/>
        </w:rPr>
        <w:t>，拥有专职研发人员</w:t>
      </w:r>
      <w:r w:rsidR="004D6CCA">
        <w:rPr>
          <w:rFonts w:asciiTheme="minorEastAsia" w:hAnsiTheme="minorEastAsia"/>
          <w:sz w:val="30"/>
          <w:szCs w:val="30"/>
        </w:rPr>
        <w:t>50</w:t>
      </w:r>
      <w:r w:rsidR="004D6CCA">
        <w:rPr>
          <w:rFonts w:asciiTheme="minorEastAsia" w:hAnsiTheme="minorEastAsia" w:hint="eastAsia"/>
          <w:sz w:val="30"/>
          <w:szCs w:val="30"/>
        </w:rPr>
        <w:t>多</w:t>
      </w:r>
      <w:bookmarkStart w:id="2" w:name="_GoBack"/>
      <w:bookmarkEnd w:id="2"/>
      <w:r w:rsidRPr="00BD6F98">
        <w:rPr>
          <w:rFonts w:asciiTheme="minorEastAsia" w:hAnsiTheme="minorEastAsia" w:hint="eastAsia"/>
          <w:sz w:val="30"/>
          <w:szCs w:val="30"/>
        </w:rPr>
        <w:t>名，技术研发实力居国内同行业前列。近几年来研发产品60多项，获国家授权发明专利 12项，实用新型16项，外观设计专利3项，已受理和进入实际审查阶段的发明专利19项，拥有自主知识产权，并先后获得34项国家矿用产品安全标志证书。“现代化煤矿井下高集成巷道修筑成套设备” 获2015年度烟台市科技进步三等奖，“铲板式支架搬运车”被山东省经信委、山东省财政</w:t>
      </w:r>
      <w:r w:rsidRPr="00BD6F98">
        <w:rPr>
          <w:rFonts w:asciiTheme="minorEastAsia" w:hAnsiTheme="minorEastAsia" w:hint="eastAsia"/>
          <w:sz w:val="30"/>
          <w:szCs w:val="30"/>
        </w:rPr>
        <w:lastRenderedPageBreak/>
        <w:t>厅认定为2017年度“山东首台（套）产品”，并被山东省经信委列入山东省高端技术装备新产品推广目录(第六批)，“防爆柴油机混凝土搅拌运输车”获2018年度烟台市科技进步二等奖；“煤矿井下巷道修筑成套设备”获2018年度山东省科技进步三等奖。公司先后承担了省经信委提质增效项目和烟台市、莱州市的科技发展计划，2012年获山东省蓝黄两区专项资金扶持。</w:t>
      </w:r>
    </w:p>
    <w:p w:rsidR="00A60477" w:rsidRPr="00BD6F98" w:rsidRDefault="00A60477" w:rsidP="007D2B22">
      <w:pPr>
        <w:overflowPunct w:val="0"/>
        <w:spacing w:line="520" w:lineRule="exact"/>
        <w:rPr>
          <w:rFonts w:asciiTheme="minorEastAsia" w:hAnsiTheme="minorEastAsia"/>
          <w:sz w:val="30"/>
          <w:szCs w:val="30"/>
        </w:rPr>
      </w:pPr>
      <w:r w:rsidRPr="00BD6F98">
        <w:rPr>
          <w:rFonts w:asciiTheme="minorEastAsia" w:hAnsiTheme="minorEastAsia" w:hint="eastAsia"/>
          <w:sz w:val="30"/>
          <w:szCs w:val="30"/>
        </w:rPr>
        <w:t xml:space="preserve">    公司现已通过了ISO9001：2015质量管理体系ISO14001：2015环境管理体系、OHSAS18001：2007职业健康安全管理体系认证、“YT及图”商标2017年1月被山东工商行政管理局认定为“山东省著名商标”。</w:t>
      </w:r>
    </w:p>
    <w:p w:rsidR="00ED752A" w:rsidRPr="007D2B22" w:rsidRDefault="00A60477" w:rsidP="007D2B22">
      <w:pPr>
        <w:spacing w:line="520" w:lineRule="exact"/>
        <w:ind w:firstLine="612"/>
        <w:rPr>
          <w:rFonts w:asciiTheme="minorEastAsia" w:hAnsiTheme="minorEastAsia"/>
          <w:sz w:val="30"/>
          <w:szCs w:val="30"/>
        </w:rPr>
      </w:pPr>
      <w:r w:rsidRPr="00BD6F98">
        <w:rPr>
          <w:rFonts w:asciiTheme="minorEastAsia" w:hAnsiTheme="minorEastAsia" w:hint="eastAsia"/>
          <w:sz w:val="30"/>
          <w:szCs w:val="30"/>
        </w:rPr>
        <w:t>公司产品涵盖煤炭、井工矿山二大领域，包括煤矿井下辅助运输车、金属矿山车二大系列，30余个品种，可灵活满足不同矿井企业和工程需求，主导产品包括：防爆柴油机混凝土搅拌运输车、铲板式支架搬运车、防爆多功能铲运机、防爆湿式喷浆车、无轨多功能车等。经过近几年的科技创新和市场开发，先后为中国神华能源股份有限公司、宁夏煤业集团有限责任公司、阳泉煤业（集团）有限责任公司、大同煤矿集团有限责任公司、山西潞安矿业(集团)有限责任公司、山西煤炭运销集团有限公司、山西西山晋兴能源有限责任公司、陕西煤业物资有限责任公司、中煤集团中天合创能源有限责任公司、兖州煤业股份有限公司、山东能源淄博矿业集团有限责任公司、山东黄金矿业（集团）有限公司、金诚信矿业管理股份有限公司等国内20多家企业供货，产品销售区域涵盖煤炭主产区绝大部分煤炭企业，综合市场占有率达到了30%以上，主打产品防爆柴油机混凝土搅拌运输车，市场占有率达到92.2%，牢固树立了企业在行业中的龙头企业地位</w:t>
      </w:r>
      <w:r w:rsidR="007D2B22">
        <w:rPr>
          <w:rFonts w:asciiTheme="minorEastAsia" w:hAnsiTheme="minorEastAsia" w:hint="eastAsia"/>
          <w:sz w:val="30"/>
          <w:szCs w:val="30"/>
        </w:rPr>
        <w:t>。</w:t>
      </w:r>
      <w:r w:rsidR="00371267" w:rsidRPr="00BD6F98">
        <w:rPr>
          <w:rFonts w:asciiTheme="minorEastAsia" w:hAnsiTheme="minorEastAsia" w:hint="eastAsia"/>
          <w:sz w:val="30"/>
          <w:szCs w:val="30"/>
        </w:rPr>
        <w:t>莱州亚通重型装备有限公司诚邀您的加入！</w:t>
      </w:r>
    </w:p>
    <w:p w:rsidR="00FB64EF" w:rsidRPr="00DB318D" w:rsidRDefault="00DB318D" w:rsidP="007D2B22">
      <w:pPr>
        <w:spacing w:line="520" w:lineRule="exact"/>
        <w:rPr>
          <w:rFonts w:ascii="仿宋" w:eastAsia="仿宋" w:hAnsi="仿宋"/>
          <w:b/>
          <w:bCs/>
          <w:sz w:val="30"/>
          <w:szCs w:val="30"/>
        </w:rPr>
      </w:pPr>
      <w:r w:rsidRPr="00DB318D">
        <w:rPr>
          <w:rFonts w:ascii="仿宋" w:eastAsia="仿宋" w:hAnsi="仿宋" w:hint="eastAsia"/>
          <w:b/>
          <w:bCs/>
          <w:sz w:val="30"/>
          <w:szCs w:val="30"/>
        </w:rPr>
        <w:lastRenderedPageBreak/>
        <w:t>公司环境及产品图片展示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62"/>
        <w:gridCol w:w="4160"/>
      </w:tblGrid>
      <w:tr w:rsidR="005F630A" w:rsidTr="00EF0FE6">
        <w:trPr>
          <w:trHeight w:val="3534"/>
        </w:trPr>
        <w:tc>
          <w:tcPr>
            <w:tcW w:w="4362" w:type="dxa"/>
          </w:tcPr>
          <w:p w:rsidR="00FB64EF" w:rsidRDefault="00FB64EF" w:rsidP="00A60477">
            <w:pPr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drawing>
                <wp:inline distT="0" distB="0" distL="0" distR="0">
                  <wp:extent cx="2955867" cy="20193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厂区外部图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082" cy="203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FB64EF" w:rsidRDefault="00FB64EF" w:rsidP="00A60477">
            <w:pPr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drawing>
                <wp:inline distT="0" distB="0" distL="0" distR="0">
                  <wp:extent cx="2811780" cy="210900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9b5937c0858850acaa461406013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95" cy="225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30A" w:rsidTr="00EF0FE6">
        <w:trPr>
          <w:trHeight w:val="3683"/>
        </w:trPr>
        <w:tc>
          <w:tcPr>
            <w:tcW w:w="4362" w:type="dxa"/>
          </w:tcPr>
          <w:p w:rsidR="00FB64EF" w:rsidRDefault="005F630A" w:rsidP="00A60477">
            <w:pPr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drawing>
                <wp:inline distT="0" distB="0" distL="0" distR="0">
                  <wp:extent cx="2682024" cy="225552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2db6f1a5a7f9b2d4466b4a283a96c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35" cy="228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FB64EF" w:rsidRDefault="005F630A" w:rsidP="00A60477">
            <w:pPr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drawing>
                <wp:inline distT="0" distB="0" distL="0" distR="0">
                  <wp:extent cx="2598613" cy="221742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d07d7833b5a3f2f906f0d6804b952f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602" cy="224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E6" w:rsidTr="00EF0FE6">
        <w:trPr>
          <w:trHeight w:val="2604"/>
        </w:trPr>
        <w:tc>
          <w:tcPr>
            <w:tcW w:w="4362" w:type="dxa"/>
            <w:vMerge w:val="restart"/>
          </w:tcPr>
          <w:p w:rsidR="00EF0FE6" w:rsidRDefault="00EF0FE6" w:rsidP="00A60477">
            <w:pPr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/>
                <w:noProof/>
                <w:sz w:val="30"/>
                <w:szCs w:val="30"/>
              </w:rPr>
              <w:drawing>
                <wp:inline distT="0" distB="0" distL="0" distR="0" wp14:anchorId="561470A0" wp14:editId="69318277">
                  <wp:extent cx="2857500" cy="305562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yatohe (17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20" cy="308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EF0FE6" w:rsidRDefault="00EF0FE6" w:rsidP="00A60477">
            <w:pPr>
              <w:rPr>
                <w:rFonts w:ascii="仿宋" w:eastAsia="仿宋" w:hAnsi="仿宋"/>
                <w:sz w:val="30"/>
                <w:szCs w:val="30"/>
              </w:rPr>
            </w:pPr>
            <w:r w:rsidRPr="00B94195">
              <w:rPr>
                <w:rFonts w:ascii="仿宋" w:eastAsia="仿宋" w:hAnsi="仿宋" w:cs="仿宋"/>
                <w:noProof/>
                <w:sz w:val="32"/>
                <w:szCs w:val="32"/>
              </w:rPr>
              <w:drawing>
                <wp:inline distT="0" distB="0" distL="0" distR="0" wp14:anchorId="2B66EEFE" wp14:editId="26EB3EFF">
                  <wp:extent cx="2392413" cy="1463040"/>
                  <wp:effectExtent l="0" t="0" r="0" b="0"/>
                  <wp:docPr id="17" name="图片 17" descr="3100e9d1628e383e2878d356fd937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100e9d1628e383e2878d356fd937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806" cy="147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E6" w:rsidTr="00EF0FE6">
        <w:trPr>
          <w:trHeight w:val="1476"/>
        </w:trPr>
        <w:tc>
          <w:tcPr>
            <w:tcW w:w="4362" w:type="dxa"/>
            <w:vMerge/>
          </w:tcPr>
          <w:p w:rsidR="00EF0FE6" w:rsidRDefault="00EF0FE6" w:rsidP="00A60477">
            <w:pPr>
              <w:rPr>
                <w:rFonts w:ascii="仿宋" w:eastAsia="仿宋" w:hAnsi="仿宋"/>
                <w:noProof/>
                <w:sz w:val="30"/>
                <w:szCs w:val="30"/>
              </w:rPr>
            </w:pPr>
          </w:p>
        </w:tc>
        <w:tc>
          <w:tcPr>
            <w:tcW w:w="4160" w:type="dxa"/>
          </w:tcPr>
          <w:p w:rsidR="00EF0FE6" w:rsidRPr="00B94195" w:rsidRDefault="00EF0FE6" w:rsidP="00A60477">
            <w:pPr>
              <w:rPr>
                <w:rFonts w:ascii="仿宋" w:eastAsia="仿宋" w:hAnsi="仿宋" w:cs="仿宋"/>
                <w:noProof/>
                <w:sz w:val="32"/>
                <w:szCs w:val="32"/>
              </w:rPr>
            </w:pPr>
            <w:r>
              <w:rPr>
                <w:rFonts w:ascii="仿宋" w:eastAsia="仿宋" w:hAnsi="仿宋" w:cs="仿宋"/>
                <w:noProof/>
                <w:sz w:val="32"/>
                <w:szCs w:val="32"/>
              </w:rPr>
              <w:drawing>
                <wp:inline distT="0" distB="0" distL="0" distR="0">
                  <wp:extent cx="2407920" cy="140842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21" cy="1424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4EF" w:rsidRPr="007D2B22" w:rsidRDefault="00FB64EF" w:rsidP="00A60477">
      <w:pPr>
        <w:rPr>
          <w:rFonts w:ascii="仿宋" w:eastAsia="仿宋" w:hAnsi="仿宋"/>
          <w:b/>
          <w:bCs/>
          <w:sz w:val="30"/>
          <w:szCs w:val="30"/>
        </w:rPr>
      </w:pPr>
    </w:p>
    <w:p w:rsidR="00A60477" w:rsidRPr="004D12E0" w:rsidRDefault="00A60477" w:rsidP="00A60477">
      <w:pPr>
        <w:rPr>
          <w:rFonts w:ascii="仿宋" w:eastAsia="仿宋" w:hAnsi="仿宋"/>
          <w:sz w:val="30"/>
          <w:szCs w:val="30"/>
        </w:rPr>
      </w:pPr>
    </w:p>
    <w:p w:rsidR="009C072E" w:rsidRPr="009C072E" w:rsidRDefault="009C072E" w:rsidP="00A60477">
      <w:pPr>
        <w:pStyle w:val="a5"/>
        <w:spacing w:before="0" w:beforeAutospacing="0" w:after="0" w:afterAutospacing="0" w:line="600" w:lineRule="exact"/>
        <w:textAlignment w:val="baseline"/>
        <w:rPr>
          <w:b/>
          <w:sz w:val="32"/>
          <w:szCs w:val="32"/>
        </w:rPr>
      </w:pPr>
    </w:p>
    <w:p w:rsidR="009C072E" w:rsidRPr="008A4228" w:rsidRDefault="009C072E">
      <w:pPr>
        <w:rPr>
          <w:rFonts w:ascii="黑体" w:eastAsia="黑体"/>
          <w:sz w:val="32"/>
          <w:szCs w:val="32"/>
        </w:rPr>
      </w:pPr>
    </w:p>
    <w:sectPr w:rsidR="009C072E" w:rsidRPr="008A4228" w:rsidSect="002D253B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185B" w:rsidRDefault="00D9185B" w:rsidP="00847E5E">
      <w:r>
        <w:separator/>
      </w:r>
    </w:p>
  </w:endnote>
  <w:endnote w:type="continuationSeparator" w:id="0">
    <w:p w:rsidR="00D9185B" w:rsidRDefault="00D9185B" w:rsidP="0084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185B" w:rsidRDefault="00D9185B" w:rsidP="00847E5E">
      <w:r>
        <w:separator/>
      </w:r>
    </w:p>
  </w:footnote>
  <w:footnote w:type="continuationSeparator" w:id="0">
    <w:p w:rsidR="00D9185B" w:rsidRDefault="00D9185B" w:rsidP="0084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E5E" w:rsidRPr="00847E5E" w:rsidRDefault="00847E5E" w:rsidP="00847E5E">
    <w:pPr>
      <w:pStyle w:val="a6"/>
      <w:ind w:firstLineChars="1150" w:firstLine="2424"/>
      <w:jc w:val="both"/>
      <w:rPr>
        <w:b/>
        <w:sz w:val="21"/>
        <w:szCs w:val="21"/>
      </w:rPr>
    </w:pPr>
    <w:r w:rsidRPr="00847E5E">
      <w:rPr>
        <w:rFonts w:hint="eastAsia"/>
        <w:b/>
        <w:sz w:val="21"/>
        <w:szCs w:val="21"/>
      </w:rPr>
      <w:t>莱州</w:t>
    </w:r>
    <w:r w:rsidRPr="00847E5E">
      <w:rPr>
        <w:b/>
        <w:sz w:val="21"/>
        <w:szCs w:val="21"/>
      </w:rPr>
      <w:t>亚通重型装备</w:t>
    </w:r>
    <w:r w:rsidRPr="00847E5E">
      <w:rPr>
        <w:rFonts w:hint="eastAsia"/>
        <w:b/>
        <w:sz w:val="21"/>
        <w:szCs w:val="21"/>
      </w:rPr>
      <w:t>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4228"/>
    <w:rsid w:val="00001841"/>
    <w:rsid w:val="00165A27"/>
    <w:rsid w:val="00165B9A"/>
    <w:rsid w:val="00166BB4"/>
    <w:rsid w:val="00232709"/>
    <w:rsid w:val="00233701"/>
    <w:rsid w:val="002D253B"/>
    <w:rsid w:val="00371267"/>
    <w:rsid w:val="004B783C"/>
    <w:rsid w:val="004D6CCA"/>
    <w:rsid w:val="005F630A"/>
    <w:rsid w:val="00685581"/>
    <w:rsid w:val="006A424F"/>
    <w:rsid w:val="007D2B22"/>
    <w:rsid w:val="00847E5E"/>
    <w:rsid w:val="008A4228"/>
    <w:rsid w:val="009C072E"/>
    <w:rsid w:val="00A60477"/>
    <w:rsid w:val="00A65D21"/>
    <w:rsid w:val="00A816EE"/>
    <w:rsid w:val="00BC3A93"/>
    <w:rsid w:val="00BD6F98"/>
    <w:rsid w:val="00C54B40"/>
    <w:rsid w:val="00D8110D"/>
    <w:rsid w:val="00D9185B"/>
    <w:rsid w:val="00DB318D"/>
    <w:rsid w:val="00ED752A"/>
    <w:rsid w:val="00EF0FE6"/>
    <w:rsid w:val="00F778F6"/>
    <w:rsid w:val="00FB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9262A"/>
  <w15:docId w15:val="{3B0A9ED7-85C7-4F33-89BE-ABFC5332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25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70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32709"/>
    <w:rPr>
      <w:sz w:val="18"/>
      <w:szCs w:val="18"/>
    </w:rPr>
  </w:style>
  <w:style w:type="paragraph" w:styleId="a5">
    <w:name w:val="Normal (Web)"/>
    <w:basedOn w:val="a"/>
    <w:uiPriority w:val="99"/>
    <w:unhideWhenUsed/>
    <w:rsid w:val="009C07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47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47E5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47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47E5E"/>
    <w:rPr>
      <w:sz w:val="18"/>
      <w:szCs w:val="18"/>
    </w:rPr>
  </w:style>
  <w:style w:type="character" w:customStyle="1" w:styleId="apple-converted-space">
    <w:name w:val="apple-converted-space"/>
    <w:basedOn w:val="a0"/>
    <w:rsid w:val="006A424F"/>
  </w:style>
  <w:style w:type="table" w:styleId="aa">
    <w:name w:val="Table Grid"/>
    <w:basedOn w:val="a1"/>
    <w:uiPriority w:val="59"/>
    <w:rsid w:val="00FB6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7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215</Words>
  <Characters>1230</Characters>
  <Application>Microsoft Office Word</Application>
  <DocSecurity>0</DocSecurity>
  <Lines>10</Lines>
  <Paragraphs>2</Paragraphs>
  <ScaleCrop>false</ScaleCrop>
  <Company>GRJSJ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Administrator</cp:lastModifiedBy>
  <cp:revision>13</cp:revision>
  <cp:lastPrinted>2019-01-10T02:15:00Z</cp:lastPrinted>
  <dcterms:created xsi:type="dcterms:W3CDTF">2019-01-02T07:20:00Z</dcterms:created>
  <dcterms:modified xsi:type="dcterms:W3CDTF">2020-12-19T00:40:00Z</dcterms:modified>
</cp:coreProperties>
</file>